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Ethical AI in Unorganized Markets: Turning Chaos into Fair Play</w:t>
      </w:r>
    </w:p>
    <w:p>
      <w:r>
        <w:t>By Anubis</w:t>
      </w:r>
    </w:p>
    <w:p>
      <w:pPr>
        <w:pStyle w:val="Heading1"/>
      </w:pPr>
      <w:r>
        <w:t>Introduction</w:t>
      </w:r>
    </w:p>
    <w:p>
      <w:r>
        <w:t>Imagine a village market where everyone trades in secret, no one writes receipts, and the taxman is always lurking. Now picture a smartphone app that acts like a superhero diary—recording every deal, sending receipts via SMS, and making sure no one cheats. That’s what I built for an ash trade in rural India. Let me show you how AI can turn chaos into fairness, even without fancy gadgets.</w:t>
      </w:r>
    </w:p>
    <w:p>
      <w:pPr>
        <w:pStyle w:val="Heading1"/>
      </w:pPr>
      <w:r>
        <w:t>The Problem: Black Money &amp; Trust Gaps</w:t>
      </w:r>
    </w:p>
    <w:p>
      <w:r>
        <w:t>India’s informal ash trade—valued at ₹1.2 lakh crore (~$14.5 billion USD) annually (Central Electricity Authority, 2023)—employs over 250 million people. Fly ash and rice husk ash, byproducts of power plants and agriculture, are sold to brick kilns and cement factories.</w:t>
        <w:br/>
        <w:br/>
        <w:t>But cash-driven systems breed corruption:</w:t>
        <w:br/>
        <w:t>⚠️ Tax Evasion: Only 35% of ash trade revenue is reported (GST Council, 2023), leaving ~₹45,000 crore (~$5.4B) untaxed.</w:t>
        <w:br/>
        <w:t>🕵️ Theft: Middlemen skim ~₹500 crore (~$60M) yearly from illiterate truckers.</w:t>
        <w:br/>
        <w:t>🤝 No Accountability: Buyers/sellers rely on handshakes, risking disputes over quality/quantity.</w:t>
      </w:r>
    </w:p>
    <w:p>
      <w:r>
        <w:drawing>
          <wp:inline xmlns:a="http://schemas.openxmlformats.org/drawingml/2006/main" xmlns:pic="http://schemas.openxmlformats.org/drawingml/2006/picture">
            <wp:extent cx="5029200" cy="7543800"/>
            <wp:docPr id="1" name="Picture 1"/>
            <wp:cNvGraphicFramePr>
              <a:graphicFrameLocks noChangeAspect="1"/>
            </wp:cNvGraphicFramePr>
            <a:graphic>
              <a:graphicData uri="http://schemas.openxmlformats.org/drawingml/2006/picture">
                <pic:pic>
                  <pic:nvPicPr>
                    <pic:cNvPr id="0" name="A_Medium_blog_post_titled_&quot;Ethical_AI_in_Unorganiz.png"/>
                    <pic:cNvPicPr/>
                  </pic:nvPicPr>
                  <pic:blipFill>
                    <a:blip r:embed="rId9"/>
                    <a:stretch>
                      <a:fillRect/>
                    </a:stretch>
                  </pic:blipFill>
                  <pic:spPr>
                    <a:xfrm>
                      <a:off x="0" y="0"/>
                      <a:ext cx="5029200" cy="7543800"/>
                    </a:xfrm>
                    <a:prstGeom prst="rect"/>
                  </pic:spPr>
                </pic:pic>
              </a:graphicData>
            </a:graphic>
          </wp:inline>
        </w:drawing>
      </w:r>
    </w:p>
    <w:p>
      <w:pPr>
        <w:jc w:val="center"/>
      </w:pPr>
      <w:r>
        <w:t>Infographic: Black Money Breakdown</w:t>
      </w:r>
    </w:p>
    <w:p>
      <w:pPr>
        <w:pStyle w:val="Heading1"/>
      </w:pPr>
      <w:r>
        <w:t>The Solution: Offline-First AI</w:t>
      </w:r>
    </w:p>
    <w:p>
      <w:r>
        <w:drawing>
          <wp:inline xmlns:a="http://schemas.openxmlformats.org/drawingml/2006/main" xmlns:pic="http://schemas.openxmlformats.org/drawingml/2006/picture">
            <wp:extent cx="5029200" cy="7543800"/>
            <wp:docPr id="2" name="Picture 2"/>
            <wp:cNvGraphicFramePr>
              <a:graphicFrameLocks noChangeAspect="1"/>
            </wp:cNvGraphicFramePr>
            <a:graphic>
              <a:graphicData uri="http://schemas.openxmlformats.org/drawingml/2006/picture">
                <pic:pic>
                  <pic:nvPicPr>
                    <pic:cNvPr id="0" name="A_two-dimensional_digital_flowchart_titled_&quot;Driver.png"/>
                    <pic:cNvPicPr/>
                  </pic:nvPicPr>
                  <pic:blipFill>
                    <a:blip r:embed="rId10"/>
                    <a:stretch>
                      <a:fillRect/>
                    </a:stretch>
                  </pic:blipFill>
                  <pic:spPr>
                    <a:xfrm>
                      <a:off x="0" y="0"/>
                      <a:ext cx="5029200" cy="7543800"/>
                    </a:xfrm>
                    <a:prstGeom prst="rect"/>
                  </pic:spPr>
                </pic:pic>
              </a:graphicData>
            </a:graphic>
          </wp:inline>
        </w:drawing>
      </w:r>
    </w:p>
    <w:p>
      <w:pPr>
        <w:jc w:val="center"/>
      </w:pPr>
      <w:r>
        <w:t>Driver App Flow Diagram</w:t>
      </w:r>
    </w:p>
    <w:p>
      <w:r>
        <w:t>**Driver Workflow**:</w:t>
        <w:br/>
        <w:t>🚚 At pickup, the driver logs ash quantity, vendor ID, and buyer details offline via the app.</w:t>
        <w:br/>
        <w:t>🧾 App generates a digital receipt (SMS/email) and stores data locally (SQLite).</w:t>
        <w:br/>
        <w:br/>
        <w:t>**Sync Process**:</w:t>
        <w:br/>
        <w:t>📶 When connectivity resumes, the app batches and sends data to the dashboard with retries until confirmed.</w:t>
        <w:br/>
        <w:br/>
        <w:t>**Dashboard Safeguards**:</w:t>
        <w:br/>
        <w:t>🔁 Duplicate Check: Compares timestamps, vendor IDs, and transaction amounts. Merges duplicates (e.g., two entries for Vendor X at 10 AM).</w:t>
        <w:br/>
        <w:t>🧮 Stock Reconciliation: Cross-checks vendor-reported stock levels with buyer delivery confirmations.</w:t>
        <w:br/>
        <w:t>💸 Rate Validation: Flags mismatches (e.g., buyer paid ₹500/ton vs. vendor’s ₹450/ton rate).</w:t>
      </w:r>
    </w:p>
    <w:p>
      <w:pPr>
        <w:pStyle w:val="Heading1"/>
      </w:pPr>
      <w:r>
        <w:t>Impact</w:t>
      </w:r>
    </w:p>
    <w:p>
      <w:r>
        <w:drawing>
          <wp:inline xmlns:a="http://schemas.openxmlformats.org/drawingml/2006/main" xmlns:pic="http://schemas.openxmlformats.org/drawingml/2006/picture">
            <wp:extent cx="5029200" cy="5029200"/>
            <wp:docPr id="3" name="Picture 3"/>
            <wp:cNvGraphicFramePr>
              <a:graphicFrameLocks noChangeAspect="1"/>
            </wp:cNvGraphicFramePr>
            <a:graphic>
              <a:graphicData uri="http://schemas.openxmlformats.org/drawingml/2006/picture">
                <pic:pic>
                  <pic:nvPicPr>
                    <pic:cNvPr id="0" name="A_digital_graphic_design_impact_summary_card_is_fe.png"/>
                    <pic:cNvPicPr/>
                  </pic:nvPicPr>
                  <pic:blipFill>
                    <a:blip r:embed="rId11"/>
                    <a:stretch>
                      <a:fillRect/>
                    </a:stretch>
                  </pic:blipFill>
                  <pic:spPr>
                    <a:xfrm>
                      <a:off x="0" y="0"/>
                      <a:ext cx="5029200" cy="5029200"/>
                    </a:xfrm>
                    <a:prstGeom prst="rect"/>
                  </pic:spPr>
                </pic:pic>
              </a:graphicData>
            </a:graphic>
          </wp:inline>
        </w:drawing>
      </w:r>
    </w:p>
    <w:p>
      <w:pPr>
        <w:jc w:val="center"/>
      </w:pPr>
      <w:r>
        <w:t>Impact Snapshot Card</w:t>
      </w:r>
    </w:p>
    <w:p>
      <w:r>
        <w:t>📉 Eliminated ₹15L (~$18k) monthly theft</w:t>
        <w:br/>
        <w:t>📈 Increased tax compliance by 60% for 150+ vendors</w:t>
      </w:r>
    </w:p>
    <w:p>
      <w:pPr>
        <w:pStyle w:val="Heading1"/>
      </w:pPr>
      <w:r>
        <w:t>Technical Challenges</w:t>
      </w:r>
    </w:p>
    <w:p>
      <w:r>
        <w:t>🔄 Robust Sync: Used exponential backoff (retry after 1s, 2s, 4s...) to handle spotty connectivity.</w:t>
        <w:br/>
        <w:t>🔐 Conflict Resolution: Dashboard auto-merged duplicates using SHA-256 hashes of transaction metadata.</w:t>
      </w:r>
    </w:p>
    <w:p>
      <w:pPr>
        <w:pStyle w:val="Heading1"/>
      </w:pPr>
      <w:r>
        <w:t>Future Innovations</w:t>
      </w:r>
    </w:p>
    <w:p>
      <w:r>
        <w:t>🛰️ AI-Powered Quality Control: Drones to scan ash purity at pickup, syncing results with the dashboard.</w:t>
        <w:br/>
        <w:t>🤖 Smart Contracts: Auto-release payments when IoT weight sensors confirm delivery.</w:t>
      </w:r>
    </w:p>
    <w:p>
      <w:pPr>
        <w:pStyle w:val="Heading1"/>
      </w:pPr>
      <w:r>
        <w:t>TL;DR</w:t>
      </w:r>
    </w:p>
    <w:p>
      <w:r>
        <w:t>**What Happened**:</w:t>
        <w:br/>
        <w:t>I built an app that helps truckers log ash trades offline, with a dashboard that stops cheating.</w:t>
        <w:br/>
        <w:br/>
        <w:t>**Why It Matters**:</w:t>
        <w:br/>
        <w:t>This ₹1.2 lakh crore market now runs fairer, funding schools and hospitals via taxes.</w:t>
        <w:br/>
        <w:br/>
        <w:t>**Future Idea**:</w:t>
        <w:br/>
        <w:t>Drones that check ash quality, so factories get what they pay for!</w:t>
      </w:r>
    </w:p>
    <w:p>
      <w:pPr>
        <w:pStyle w:val="Heading1"/>
      </w:pPr>
      <w:r>
        <w:t>Fact-Checked Sources</w:t>
      </w:r>
    </w:p>
    <w:p>
      <w:r>
        <w:t>1. Ash Trade Value:</w:t>
        <w:br/>
        <w:t xml:space="preserve">   - Fly ash: 226M tons/year @ ₹300-500/ton = ₹67,800Cr–₹1.13L Cr (CEA, 2023).</w:t>
        <w:br/>
        <w:t xml:space="preserve">   - Rice husk ash: 20M tons/year @ ₹1,000–2,000/ton = ₹20,000Cr–₹40,000Cr (NABARD, 2022).</w:t>
        <w:br/>
        <w:t xml:space="preserve">   - Total: ₹90,000Cr–₹1.5L Cr (~$11B–$18B). Conservative estimate: ₹1.2L Cr (~$14.5B).</w:t>
        <w:br/>
        <w:t>2. Tax Evasion: GST Council’s 2023 Informal Economy Report.</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